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23" w:rsidRDefault="008A4647" w:rsidP="008A4647">
      <w:pPr>
        <w:pStyle w:val="UKHTCPaperTitle"/>
      </w:pPr>
      <w:r w:rsidRPr="008A4647">
        <w:t>Title of Abstract (Bold, Upp</w:t>
      </w:r>
      <w:r w:rsidR="0043496C">
        <w:t>er Case, Times New Roman, 14</w:t>
      </w:r>
      <w:r>
        <w:t xml:space="preserve"> pt</w:t>
      </w:r>
      <w:r w:rsidR="004A0049">
        <w:t xml:space="preserve"> Cent</w:t>
      </w:r>
      <w:r w:rsidRPr="008A4647">
        <w:t>red)</w:t>
      </w:r>
    </w:p>
    <w:p w:rsidR="00020484" w:rsidRDefault="008A4647" w:rsidP="00020484">
      <w:pPr>
        <w:pStyle w:val="UKHTCAuthorlist"/>
      </w:pPr>
      <w:r>
        <w:t>First A. Author</w:t>
      </w:r>
      <w:r w:rsidR="00020484">
        <w:rPr>
          <w:vertAlign w:val="superscript"/>
        </w:rPr>
        <w:t>1*</w:t>
      </w:r>
      <w:r>
        <w:t>, Second B</w:t>
      </w:r>
      <w:r w:rsidR="00B0715C">
        <w:t>.</w:t>
      </w:r>
      <w:r>
        <w:t xml:space="preserve"> Author</w:t>
      </w:r>
      <w:r w:rsidR="00020484" w:rsidRPr="00020484">
        <w:rPr>
          <w:vertAlign w:val="superscript"/>
        </w:rPr>
        <w:t>1</w:t>
      </w:r>
      <w:r>
        <w:t xml:space="preserve">, Third </w:t>
      </w:r>
      <w:r w:rsidR="00B0715C">
        <w:t xml:space="preserve">C. </w:t>
      </w:r>
      <w:r>
        <w:t>Author</w:t>
      </w:r>
      <w:r w:rsidR="00020484" w:rsidRPr="00020484">
        <w:rPr>
          <w:vertAlign w:val="superscript"/>
        </w:rPr>
        <w:t>2</w:t>
      </w:r>
      <w:r>
        <w:t>, Fourth C. Author</w:t>
      </w:r>
      <w:r w:rsidR="00020484" w:rsidRPr="00020484">
        <w:rPr>
          <w:vertAlign w:val="superscript"/>
        </w:rPr>
        <w:t>3</w:t>
      </w:r>
    </w:p>
    <w:p w:rsidR="00CB13C0" w:rsidRDefault="00020484" w:rsidP="00CB13C0">
      <w:pPr>
        <w:pStyle w:val="UKHTCAuthorAffiliation"/>
      </w:pPr>
      <w:r w:rsidRPr="00020484">
        <w:rPr>
          <w:vertAlign w:val="superscript"/>
        </w:rPr>
        <w:t>1</w:t>
      </w:r>
      <w:r>
        <w:t>Department of Mechanical, Aerospace and Civil Engineering, University of Manchester, Ma</w:t>
      </w:r>
      <w:r w:rsidR="00CB13C0">
        <w:t>nchester M13 9PL, United Kingdom</w:t>
      </w:r>
    </w:p>
    <w:p w:rsidR="00CB13C0" w:rsidRDefault="00CB13C0" w:rsidP="00CB13C0">
      <w:pPr>
        <w:pStyle w:val="UKHTCAuthorAffiliation"/>
      </w:pPr>
      <w:r w:rsidRPr="00CB13C0">
        <w:rPr>
          <w:vertAlign w:val="superscript"/>
        </w:rPr>
        <w:t>2</w:t>
      </w:r>
      <w:r>
        <w:t>Department of Mechanical Engineering, Trinity College Dublin, University of Dublin, Ireland</w:t>
      </w:r>
    </w:p>
    <w:p w:rsidR="00CB13C0" w:rsidRDefault="00CB13C0" w:rsidP="00CB13C0">
      <w:pPr>
        <w:pStyle w:val="UKHTCAuthorAffiliation"/>
      </w:pPr>
      <w:r w:rsidRPr="00CB13C0">
        <w:rPr>
          <w:vertAlign w:val="superscript"/>
        </w:rPr>
        <w:t>3</w:t>
      </w:r>
      <w:r>
        <w:t>Faculty of Science &amp; Engineering, University of Nottingham Ningbo China, Ningbo, China</w:t>
      </w:r>
    </w:p>
    <w:p w:rsidR="00CB13C0" w:rsidRDefault="00CB13C0" w:rsidP="00CB13C0">
      <w:pPr>
        <w:pStyle w:val="UKHTCHeading1"/>
      </w:pPr>
      <w:r>
        <w:t>Recommended Guidelines For Preparing An Extended Abstract</w:t>
      </w:r>
    </w:p>
    <w:p w:rsidR="00230D40" w:rsidRDefault="00675ECA" w:rsidP="00675ECA">
      <w:pPr>
        <w:pStyle w:val="UKHTCNormal"/>
        <w:rPr>
          <w:b/>
        </w:rPr>
      </w:pPr>
      <w:r>
        <w:t>This template has been prepared for authors of extended abstracts to be submitted for consideration at the 17</w:t>
      </w:r>
      <w:r w:rsidRPr="00675ECA">
        <w:rPr>
          <w:vertAlign w:val="superscript"/>
        </w:rPr>
        <w:t>th</w:t>
      </w:r>
      <w:r>
        <w:t xml:space="preserve"> UK Heat Transfer Conference (UKHTC2021) to be held at The University of Manchester, UK, on 5-7 September 2021. Extended abstracts of all accepted papers will be included in the printed documentation for the conference (full papers will be on a USB stick only, provided at the conference). Thus to avoid any additional work later, it is desirable for your initial extended abstract to adhere closely to this format. </w:t>
      </w:r>
      <w:r w:rsidRPr="00675ECA">
        <w:rPr>
          <w:b/>
        </w:rPr>
        <w:t>Initial submissions not adhering to this format will still be considered (within reason) but, if accepted, authors will later be requested to modify the submission for conformity to the template.</w:t>
      </w:r>
    </w:p>
    <w:p w:rsidR="001F2CB5" w:rsidRDefault="001F2CB5" w:rsidP="00EC0529">
      <w:pPr>
        <w:pStyle w:val="UKHTCHeading2"/>
      </w:pPr>
      <w:r>
        <w:t>Special Sessions</w:t>
      </w:r>
    </w:p>
    <w:p w:rsidR="001F2CB5" w:rsidRDefault="001F2CB5" w:rsidP="0043496C">
      <w:pPr>
        <w:pStyle w:val="UKHTCNormal"/>
      </w:pPr>
      <w:r>
        <w:t>There are three special sessions at the conference:</w:t>
      </w:r>
    </w:p>
    <w:p w:rsidR="001F2CB5" w:rsidRDefault="001F2CB5" w:rsidP="00EC0529">
      <w:pPr>
        <w:pStyle w:val="UKHTCList"/>
      </w:pPr>
      <w:r w:rsidRPr="00EC0529">
        <w:t>Solar</w:t>
      </w:r>
      <w:r>
        <w:t xml:space="preserve"> Energy</w:t>
      </w:r>
    </w:p>
    <w:p w:rsidR="001F2CB5" w:rsidRDefault="001F2CB5" w:rsidP="00EC0529">
      <w:pPr>
        <w:pStyle w:val="UKHTCList"/>
      </w:pPr>
      <w:r>
        <w:t>Hot-Section Gas Turbine Cooling</w:t>
      </w:r>
    </w:p>
    <w:p w:rsidR="001F2CB5" w:rsidRDefault="001F2CB5" w:rsidP="00EC0529">
      <w:pPr>
        <w:pStyle w:val="UKHTCList"/>
      </w:pPr>
      <w:r>
        <w:t>Nuclear Power</w:t>
      </w:r>
    </w:p>
    <w:p w:rsidR="001F2CB5" w:rsidRDefault="001F2CB5" w:rsidP="001F2CB5">
      <w:pPr>
        <w:pStyle w:val="UKHTCNormal"/>
      </w:pPr>
      <w:r>
        <w:t xml:space="preserve">If you wish your paper to be considered for one of these sessions please indicate </w:t>
      </w:r>
      <w:r w:rsidR="004B7660">
        <w:t xml:space="preserve">your choice </w:t>
      </w:r>
      <w:r>
        <w:t>on the online submission system.</w:t>
      </w:r>
    </w:p>
    <w:p w:rsidR="00F14C9D" w:rsidRDefault="00F14C9D" w:rsidP="00EC0529">
      <w:pPr>
        <w:pStyle w:val="UKHTCHeading2"/>
      </w:pPr>
      <w:r>
        <w:t xml:space="preserve">Key </w:t>
      </w:r>
      <w:r w:rsidR="00950C72">
        <w:t>D</w:t>
      </w:r>
      <w:r w:rsidRPr="00EC0529">
        <w:t>ates</w:t>
      </w:r>
    </w:p>
    <w:p w:rsidR="00E24142" w:rsidRPr="00557DAB" w:rsidRDefault="00E24142" w:rsidP="00557DAB">
      <w:pPr>
        <w:pStyle w:val="UKHTCNormal"/>
      </w:pPr>
      <w:r>
        <w:t>For the most up</w:t>
      </w:r>
      <w:r w:rsidR="00557DAB">
        <w:t xml:space="preserve"> </w:t>
      </w:r>
      <w:r>
        <w:t>to</w:t>
      </w:r>
      <w:r w:rsidR="00557DAB">
        <w:t xml:space="preserve"> </w:t>
      </w:r>
      <w:r>
        <w:t>date information, please</w:t>
      </w:r>
      <w:r w:rsidR="00557DAB">
        <w:t xml:space="preserve"> see the “important dates” page of our website: </w:t>
      </w:r>
      <w:hyperlink r:id="rId8" w:history="1">
        <w:r w:rsidR="00557DAB" w:rsidRPr="00A01BC2">
          <w:rPr>
            <w:rStyle w:val="Hyperlink"/>
          </w:rPr>
          <w:t>http://www.ukhtc2021.org/important-dates</w:t>
        </w:r>
      </w:hyperlink>
      <w:r w:rsidR="00557DAB">
        <w:t>.</w:t>
      </w:r>
    </w:p>
    <w:p w:rsidR="005C1FAB" w:rsidRDefault="005C1FAB" w:rsidP="005C1FAB">
      <w:pPr>
        <w:pStyle w:val="UKHTCHeading1"/>
      </w:pPr>
      <w:r>
        <w:t>Length and formatting of the main text</w:t>
      </w:r>
    </w:p>
    <w:p w:rsidR="005C1FAB" w:rsidRDefault="005C1FAB" w:rsidP="005C1FAB">
      <w:pPr>
        <w:pStyle w:val="UKHTCNormal"/>
      </w:pPr>
      <w:r>
        <w:t xml:space="preserve">The length of the extended abstract may be </w:t>
      </w:r>
      <w:r>
        <w:rPr>
          <w:b/>
        </w:rPr>
        <w:t>up to three</w:t>
      </w:r>
      <w:r>
        <w:t xml:space="preserve"> sides of A4, including figures. Referees may decline to review over-length proposals.</w:t>
      </w:r>
      <w:r w:rsidR="00E22D8F">
        <w:t xml:space="preserve"> The following formatting must be applied:</w:t>
      </w:r>
    </w:p>
    <w:p w:rsidR="00E22D8F" w:rsidRDefault="00E22D8F" w:rsidP="00E22D8F">
      <w:pPr>
        <w:pStyle w:val="UKHTCList"/>
      </w:pPr>
      <w:r w:rsidRPr="00E22D8F">
        <w:rPr>
          <w:b/>
        </w:rPr>
        <w:t>Font typeface</w:t>
      </w:r>
      <w:r>
        <w:t>: Times New Roman</w:t>
      </w:r>
    </w:p>
    <w:p w:rsidR="00E22D8F" w:rsidRDefault="00E22D8F" w:rsidP="00E22D8F">
      <w:pPr>
        <w:pStyle w:val="UKHTCList"/>
      </w:pPr>
      <w:r w:rsidRPr="00E22D8F">
        <w:rPr>
          <w:b/>
        </w:rPr>
        <w:t>Font size</w:t>
      </w:r>
      <w:r>
        <w:t>: Main text – 1</w:t>
      </w:r>
      <w:r w:rsidR="003671BB">
        <w:t>1</w:t>
      </w:r>
      <w:r>
        <w:t>pt; Title – 1</w:t>
      </w:r>
      <w:r w:rsidR="003671BB">
        <w:t>4</w:t>
      </w:r>
      <w:r>
        <w:t>pt Bold</w:t>
      </w:r>
      <w:r w:rsidR="003671BB">
        <w:t xml:space="preserve"> </w:t>
      </w:r>
      <w:r w:rsidR="00950C72">
        <w:t>Upper case</w:t>
      </w:r>
      <w:r>
        <w:t>; Headings – 1</w:t>
      </w:r>
      <w:r w:rsidR="003671BB">
        <w:t>2</w:t>
      </w:r>
      <w:r>
        <w:t>pt Bold</w:t>
      </w:r>
      <w:r w:rsidR="00950C72">
        <w:t xml:space="preserve"> Upper case for first level, regular case for second level and italicized regular case (without a number) for the third level.</w:t>
      </w:r>
    </w:p>
    <w:p w:rsidR="00E22D8F" w:rsidRDefault="00E22D8F" w:rsidP="00E22D8F">
      <w:pPr>
        <w:pStyle w:val="UKHTCList"/>
      </w:pPr>
      <w:r w:rsidRPr="00E22D8F">
        <w:rPr>
          <w:b/>
        </w:rPr>
        <w:t>Spacing</w:t>
      </w:r>
      <w:r>
        <w:t>: Single-spaced te</w:t>
      </w:r>
      <w:r w:rsidR="00ED0640">
        <w:t>x</w:t>
      </w:r>
      <w:r>
        <w:t xml:space="preserve">t but leave a </w:t>
      </w:r>
      <w:r w:rsidR="003671BB">
        <w:t xml:space="preserve">single </w:t>
      </w:r>
      <w:r>
        <w:t>line</w:t>
      </w:r>
      <w:r w:rsidR="003671BB">
        <w:t xml:space="preserve"> </w:t>
      </w:r>
      <w:r>
        <w:t>space (1</w:t>
      </w:r>
      <w:r w:rsidR="003671BB">
        <w:t>1</w:t>
      </w:r>
      <w:r>
        <w:t>pt) at the end of each section and paragraph.</w:t>
      </w:r>
    </w:p>
    <w:p w:rsidR="00ED0640" w:rsidRDefault="00E22D8F" w:rsidP="00ED0640">
      <w:pPr>
        <w:pStyle w:val="UKHTCList"/>
      </w:pPr>
      <w:r w:rsidRPr="00E22D8F">
        <w:rPr>
          <w:b/>
        </w:rPr>
        <w:t>Page format</w:t>
      </w:r>
      <w:r>
        <w:t xml:space="preserve">: Single column format, fully justified with 2.5 cm </w:t>
      </w:r>
      <w:r w:rsidR="007E3450">
        <w:t>spacing each side of the page and</w:t>
      </w:r>
      <w:r>
        <w:t xml:space="preserve"> 3.0 cm at the </w:t>
      </w:r>
      <w:r w:rsidR="007E3450">
        <w:t>top and bottom</w:t>
      </w:r>
      <w:r>
        <w:t>.</w:t>
      </w:r>
    </w:p>
    <w:p w:rsidR="00DF0F5A" w:rsidRDefault="00DF0F5A" w:rsidP="00DF0F5A">
      <w:pPr>
        <w:pStyle w:val="UKHTCNormal"/>
      </w:pPr>
      <w:r>
        <w:lastRenderedPageBreak/>
        <w:t xml:space="preserve">The correct formatting </w:t>
      </w:r>
      <w:r w:rsidR="00930A1D">
        <w:t>for each of these elements</w:t>
      </w:r>
      <w:r w:rsidR="007C66DB">
        <w:t xml:space="preserve"> is available </w:t>
      </w:r>
      <w:r w:rsidR="00930A1D">
        <w:t>as a “Style”</w:t>
      </w:r>
      <w:r w:rsidR="003671BB">
        <w:t>. For convenience, these should be visible</w:t>
      </w:r>
      <w:r w:rsidR="007C66DB">
        <w:t xml:space="preserve"> in the “Styles bar” on mod</w:t>
      </w:r>
      <w:r w:rsidR="003671BB">
        <w:t>ern versions of Microsoft Word.</w:t>
      </w:r>
      <w:bookmarkStart w:id="0" w:name="_GoBack"/>
      <w:bookmarkEnd w:id="0"/>
    </w:p>
    <w:p w:rsidR="00A31F7F" w:rsidRDefault="00A31F7F" w:rsidP="00A31F7F">
      <w:pPr>
        <w:pStyle w:val="UKHTCHeading1"/>
      </w:pPr>
      <w:r>
        <w:t>Figures</w:t>
      </w:r>
    </w:p>
    <w:p w:rsidR="00A31F7F" w:rsidRDefault="00A31F7F" w:rsidP="00A31F7F">
      <w:pPr>
        <w:pStyle w:val="UKHTCNormal"/>
      </w:pPr>
      <w:r>
        <w:t>Figures</w:t>
      </w:r>
      <w:r w:rsidR="00FB6874">
        <w:t xml:space="preserve"> are a vital part of the submission; 3 or 4 figures might be typical. They may appear together at the end or be included within the main text but </w:t>
      </w:r>
      <w:r>
        <w:t>should be prepared to ensure that they are contained within the paper margins</w:t>
      </w:r>
      <w:r w:rsidR="00E014C2">
        <w:t xml:space="preserve"> without overlapping text and/or figures.</w:t>
      </w:r>
      <w:r>
        <w:t xml:space="preserve"> As a general rule, lettering in the figures should be comparable to that in the main text. Colour and black/white photographs are allowed in digital format and should have sufficient resolution to permit high-quality reproduction. Figures should be centred with a line space (1</w:t>
      </w:r>
      <w:r w:rsidR="0098025B">
        <w:t>1</w:t>
      </w:r>
      <w:r w:rsidR="00A723ED">
        <w:t>pt) above and below the figure.</w:t>
      </w:r>
    </w:p>
    <w:p w:rsidR="00CB51C1" w:rsidRDefault="00D31681" w:rsidP="00CB51C1">
      <w:pPr>
        <w:pStyle w:val="UKHTCFigurebody"/>
        <w:keepNext/>
      </w:pPr>
      <w:r>
        <w:drawing>
          <wp:inline distT="0" distB="0" distL="0" distR="0">
            <wp:extent cx="501072" cy="180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seC_tcnd_ke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8CF">
        <w:drawing>
          <wp:inline distT="0" distB="0" distL="0" distR="0">
            <wp:extent cx="1795511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m-rb-conv-tcont-3-ra-0-pr-7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1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293300" cy="180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hd-fig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3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F7F" w:rsidRDefault="00CB51C1" w:rsidP="00CB51C1">
      <w:pPr>
        <w:pStyle w:val="UKHTCMultilineCaption"/>
      </w:pPr>
      <w:r w:rsidRPr="00CB51C1">
        <w:rPr>
          <w:b/>
        </w:rPr>
        <w:t xml:space="preserve">Figure </w:t>
      </w:r>
      <w:r w:rsidRPr="00CB51C1">
        <w:rPr>
          <w:b/>
        </w:rPr>
        <w:fldChar w:fldCharType="begin"/>
      </w:r>
      <w:r w:rsidRPr="00CB51C1">
        <w:rPr>
          <w:b/>
        </w:rPr>
        <w:instrText xml:space="preserve"> SEQ Figure \* ARABIC </w:instrText>
      </w:r>
      <w:r w:rsidRPr="00CB51C1">
        <w:rPr>
          <w:b/>
        </w:rPr>
        <w:fldChar w:fldCharType="separate"/>
      </w:r>
      <w:r w:rsidR="008969C7">
        <w:rPr>
          <w:b/>
          <w:noProof/>
        </w:rPr>
        <w:t>1</w:t>
      </w:r>
      <w:r w:rsidRPr="00CB51C1">
        <w:rPr>
          <w:b/>
        </w:rPr>
        <w:fldChar w:fldCharType="end"/>
      </w:r>
      <w:r w:rsidR="006D00B7" w:rsidRPr="006D00B7">
        <w:t>:</w:t>
      </w:r>
      <w:r>
        <w:t xml:space="preserve"> One line figure captions are centred under the figure, with a </w:t>
      </w:r>
      <w:r w:rsidR="0095144B">
        <w:t xml:space="preserve">single </w:t>
      </w:r>
      <w:r>
        <w:t>line space (1</w:t>
      </w:r>
      <w:r w:rsidR="0098025B">
        <w:t>1</w:t>
      </w:r>
      <w:r>
        <w:t>pt) between the figure and the caption</w:t>
      </w:r>
      <w:r w:rsidR="003A7DA8">
        <w:t xml:space="preserve"> and a single line space (1</w:t>
      </w:r>
      <w:r w:rsidR="0098025B">
        <w:t>1</w:t>
      </w:r>
      <w:r w:rsidR="003A7DA8">
        <w:t>pt) between the caption and the following text</w:t>
      </w:r>
      <w:r>
        <w:t>. Captions that are t</w:t>
      </w:r>
      <w:r w:rsidR="003A7DA8">
        <w:t>wo or more lines should be flushed left</w:t>
      </w:r>
      <w:r>
        <w:t>.</w:t>
      </w:r>
    </w:p>
    <w:p w:rsidR="00CD78CF" w:rsidRDefault="00AE6020" w:rsidP="00AE6020">
      <w:pPr>
        <w:pStyle w:val="UKHTCHeading1"/>
      </w:pPr>
      <w:r>
        <w:t>Tables</w:t>
      </w:r>
    </w:p>
    <w:p w:rsidR="00AE6020" w:rsidRDefault="00AE6020" w:rsidP="00AE6020">
      <w:pPr>
        <w:pStyle w:val="UKHTCNormal"/>
      </w:pPr>
      <w:r>
        <w:t>Tables should be entered into the document directly as text</w:t>
      </w:r>
      <w:r w:rsidR="001526BB">
        <w:t xml:space="preserve"> and</w:t>
      </w:r>
      <w:r>
        <w:t xml:space="preserve"> </w:t>
      </w:r>
      <w:r w:rsidR="001526BB">
        <w:t>s</w:t>
      </w:r>
      <w:r>
        <w:t>hould be formatted in Times New Roman</w:t>
      </w:r>
      <w:r w:rsidR="0098025B">
        <w:t>.</w:t>
      </w:r>
      <w:r w:rsidR="0098025B" w:rsidRPr="0098025B">
        <w:t xml:space="preserve"> </w:t>
      </w:r>
      <w:r w:rsidR="0098025B">
        <w:t>The size of the text within the body can be adjusted accordingly but must not exceed 11pt and must not be smaller than 9pt</w:t>
      </w:r>
      <w:r>
        <w:t xml:space="preserve">. Table headings should be centred if one line and left-justified if more than one line. </w:t>
      </w:r>
    </w:p>
    <w:p w:rsidR="003E012C" w:rsidRDefault="003E012C" w:rsidP="00C707F5">
      <w:pPr>
        <w:pStyle w:val="UKHTCTableCaption"/>
      </w:pPr>
      <w:r w:rsidRPr="003E012C">
        <w:rPr>
          <w:b/>
        </w:rPr>
        <w:t>Table 1</w:t>
      </w:r>
      <w:r>
        <w:t>: Parameters of the experimental program</w:t>
      </w:r>
      <w:r w:rsidR="004B04CF">
        <w:t>.</w:t>
      </w:r>
    </w:p>
    <w:tbl>
      <w:tblPr>
        <w:tblStyle w:val="UKHTCTable"/>
        <w:tblW w:w="6565" w:type="dxa"/>
        <w:tblLook w:val="0620" w:firstRow="1" w:lastRow="0" w:firstColumn="0" w:lastColumn="0" w:noHBand="1" w:noVBand="1"/>
      </w:tblPr>
      <w:tblGrid>
        <w:gridCol w:w="3163"/>
        <w:gridCol w:w="3402"/>
      </w:tblGrid>
      <w:tr w:rsidR="00B16701" w:rsidTr="00B1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63" w:type="dxa"/>
          </w:tcPr>
          <w:p w:rsidR="00B16701" w:rsidRPr="00E52C98" w:rsidRDefault="00B16701" w:rsidP="00F822BF">
            <w:pPr>
              <w:jc w:val="center"/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Parameters</w:t>
            </w:r>
          </w:p>
        </w:tc>
        <w:tc>
          <w:tcPr>
            <w:tcW w:w="3401" w:type="dxa"/>
          </w:tcPr>
          <w:p w:rsidR="00B16701" w:rsidRPr="00E52C98" w:rsidRDefault="00B16701" w:rsidP="00F822BF">
            <w:pPr>
              <w:jc w:val="center"/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Values</w:t>
            </w:r>
          </w:p>
        </w:tc>
      </w:tr>
      <w:tr w:rsidR="00B16701" w:rsidTr="00B16701">
        <w:trPr>
          <w:trHeight w:val="255"/>
        </w:trPr>
        <w:tc>
          <w:tcPr>
            <w:tcW w:w="3163" w:type="dxa"/>
          </w:tcPr>
          <w:p w:rsidR="00B16701" w:rsidRPr="00E52C98" w:rsidRDefault="00B16701" w:rsidP="00F822BF">
            <w:pPr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Material</w:t>
            </w:r>
          </w:p>
        </w:tc>
        <w:tc>
          <w:tcPr>
            <w:tcW w:w="3401" w:type="dxa"/>
          </w:tcPr>
          <w:p w:rsidR="00B16701" w:rsidRPr="00E52C98" w:rsidRDefault="00B16701" w:rsidP="00F822BF">
            <w:pPr>
              <w:jc w:val="center"/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wilted grass, first and second cut</w:t>
            </w:r>
          </w:p>
        </w:tc>
      </w:tr>
      <w:tr w:rsidR="00B16701" w:rsidTr="00B16701">
        <w:trPr>
          <w:trHeight w:val="255"/>
        </w:trPr>
        <w:tc>
          <w:tcPr>
            <w:tcW w:w="3163" w:type="dxa"/>
          </w:tcPr>
          <w:p w:rsidR="00B16701" w:rsidRPr="00E52C98" w:rsidRDefault="00B16701" w:rsidP="00F822BF">
            <w:pPr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DM/%</w:t>
            </w:r>
          </w:p>
        </w:tc>
        <w:tc>
          <w:tcPr>
            <w:tcW w:w="3401" w:type="dxa"/>
          </w:tcPr>
          <w:p w:rsidR="00B16701" w:rsidRPr="00E52C98" w:rsidRDefault="00B16701" w:rsidP="00F822BF">
            <w:pPr>
              <w:jc w:val="center"/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20 - 50</w:t>
            </w:r>
          </w:p>
        </w:tc>
      </w:tr>
      <w:tr w:rsidR="00B16701" w:rsidTr="00B16701">
        <w:trPr>
          <w:trHeight w:val="255"/>
        </w:trPr>
        <w:tc>
          <w:tcPr>
            <w:tcW w:w="3163" w:type="dxa"/>
          </w:tcPr>
          <w:p w:rsidR="00B16701" w:rsidRPr="00E52C98" w:rsidRDefault="00B16701" w:rsidP="00F822BF">
            <w:pPr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Compaction duration/s</w:t>
            </w:r>
          </w:p>
        </w:tc>
        <w:tc>
          <w:tcPr>
            <w:tcW w:w="3401" w:type="dxa"/>
          </w:tcPr>
          <w:p w:rsidR="00B16701" w:rsidRPr="00E52C98" w:rsidRDefault="00B16701" w:rsidP="00F822BF">
            <w:pPr>
              <w:jc w:val="center"/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0.5</w:t>
            </w:r>
          </w:p>
        </w:tc>
      </w:tr>
      <w:tr w:rsidR="00B16701" w:rsidTr="00B16701">
        <w:trPr>
          <w:trHeight w:val="255"/>
        </w:trPr>
        <w:tc>
          <w:tcPr>
            <w:tcW w:w="3163" w:type="dxa"/>
          </w:tcPr>
          <w:p w:rsidR="00B16701" w:rsidRPr="00E52C98" w:rsidRDefault="00B16701" w:rsidP="00F822BF">
            <w:pPr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Time without compaction/s</w:t>
            </w:r>
          </w:p>
        </w:tc>
        <w:tc>
          <w:tcPr>
            <w:tcW w:w="3401" w:type="dxa"/>
          </w:tcPr>
          <w:p w:rsidR="00B16701" w:rsidRPr="00E52C98" w:rsidRDefault="00B16701" w:rsidP="00F822BF">
            <w:pPr>
              <w:jc w:val="center"/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2.5</w:t>
            </w:r>
          </w:p>
        </w:tc>
      </w:tr>
      <w:tr w:rsidR="00B16701" w:rsidTr="00B16701">
        <w:trPr>
          <w:trHeight w:val="255"/>
        </w:trPr>
        <w:tc>
          <w:tcPr>
            <w:tcW w:w="3163" w:type="dxa"/>
          </w:tcPr>
          <w:p w:rsidR="00B16701" w:rsidRPr="00E52C98" w:rsidRDefault="00B16701" w:rsidP="00F822BF">
            <w:pPr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Number of compaction cycles</w:t>
            </w:r>
          </w:p>
        </w:tc>
        <w:tc>
          <w:tcPr>
            <w:tcW w:w="3401" w:type="dxa"/>
          </w:tcPr>
          <w:p w:rsidR="00B16701" w:rsidRPr="00E52C98" w:rsidRDefault="00B16701" w:rsidP="00F822BF">
            <w:pPr>
              <w:jc w:val="center"/>
              <w:rPr>
                <w:bCs/>
                <w:szCs w:val="20"/>
              </w:rPr>
            </w:pPr>
            <w:r w:rsidRPr="00E52C98">
              <w:rPr>
                <w:bCs/>
                <w:szCs w:val="20"/>
              </w:rPr>
              <w:t>6</w:t>
            </w:r>
          </w:p>
        </w:tc>
      </w:tr>
    </w:tbl>
    <w:p w:rsidR="00B16701" w:rsidRDefault="00B16701" w:rsidP="00AE6020">
      <w:pPr>
        <w:pStyle w:val="UKHTCNormal"/>
      </w:pPr>
    </w:p>
    <w:p w:rsidR="0095144B" w:rsidRDefault="0095144B" w:rsidP="0095144B">
      <w:pPr>
        <w:pStyle w:val="UKHTCHeading1"/>
      </w:pPr>
      <w:r>
        <w:t xml:space="preserve">Mathematical Formulae </w:t>
      </w:r>
    </w:p>
    <w:p w:rsidR="0095144B" w:rsidRDefault="0095144B" w:rsidP="0095144B">
      <w:pPr>
        <w:pStyle w:val="UKHTCNormal"/>
      </w:pPr>
      <w:r>
        <w:t xml:space="preserve">Mathematical equations should be typed in position with a single line space </w:t>
      </w:r>
      <w:r w:rsidR="004B7660">
        <w:t>(1</w:t>
      </w:r>
      <w:r w:rsidR="00464072">
        <w:t>1</w:t>
      </w:r>
      <w:r w:rsidR="004B7660">
        <w:t xml:space="preserve">pt) </w:t>
      </w:r>
      <w:r>
        <w:t>above and below the equation. Equations should not be entered in a non-editable format. The font for the equations should be Cambria Math and</w:t>
      </w:r>
      <w:r w:rsidR="00464072">
        <w:t xml:space="preserve"> the principle size should be 11</w:t>
      </w:r>
      <w:r>
        <w:t>pt. Subscripts and superscripts should be clearly visible. Equation numbers should be flushed right and</w:t>
      </w:r>
      <w:r w:rsidR="003D7B38">
        <w:t xml:space="preserve"> </w:t>
      </w:r>
      <w:r>
        <w:t>aligned with the last line</w:t>
      </w:r>
      <w:r w:rsidR="003D7B38">
        <w:t xml:space="preserve"> if they span multiple lines</w:t>
      </w:r>
      <w:r>
        <w:t>.</w:t>
      </w:r>
      <w:r w:rsidR="002A7498">
        <w:t xml:space="preserve"> The following table structure can be copied </w:t>
      </w:r>
      <w:r w:rsidR="00D31681">
        <w:t xml:space="preserve">to assist in numbering </w:t>
      </w:r>
      <w:r w:rsidR="002A7498">
        <w:t>if needed.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7256"/>
        <w:gridCol w:w="907"/>
      </w:tblGrid>
      <w:tr w:rsidR="00AF64FB" w:rsidTr="00AF64FB">
        <w:trPr>
          <w:jc w:val="center"/>
        </w:trPr>
        <w:tc>
          <w:tcPr>
            <w:tcW w:w="500" w:type="pct"/>
            <w:shd w:val="clear" w:color="auto" w:fill="auto"/>
          </w:tcPr>
          <w:p w:rsidR="00AF64FB" w:rsidRDefault="00AF64FB" w:rsidP="0095144B">
            <w:pPr>
              <w:pStyle w:val="UKHTCNormal"/>
              <w:ind w:firstLine="0"/>
            </w:pPr>
          </w:p>
        </w:tc>
        <w:tc>
          <w:tcPr>
            <w:tcW w:w="4000" w:type="pct"/>
            <w:shd w:val="clear" w:color="auto" w:fill="auto"/>
          </w:tcPr>
          <w:p w:rsidR="00AF64FB" w:rsidRPr="00AF64FB" w:rsidRDefault="0017125E" w:rsidP="00AF64FB">
            <w:pPr>
              <w:pStyle w:val="UKHTCEquation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f>
                  <m:fPr>
                    <m:ctrlPr>
                      <w:rPr>
                        <w:rFonts w:ascii="Cambria Math" w:eastAsiaTheme="minorHAnsi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ν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:rsidR="00AF64FB" w:rsidRDefault="00AF64FB" w:rsidP="00AF64FB">
            <w:pPr>
              <w:pStyle w:val="UKHTCEquation"/>
              <w:jc w:val="right"/>
            </w:pPr>
            <w:r>
              <w:t>(1)</w:t>
            </w:r>
          </w:p>
        </w:tc>
      </w:tr>
    </w:tbl>
    <w:p w:rsidR="00C258D7" w:rsidRDefault="00C258D7" w:rsidP="00C258D7">
      <w:pPr>
        <w:pStyle w:val="UKHTCNormal"/>
        <w:tabs>
          <w:tab w:val="left" w:pos="8364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>Do not use punctuation at the ends of equations. Align equal signs when equations are stacked with no intervening words.</w:t>
      </w:r>
      <w:r w:rsidR="004A0049">
        <w:rPr>
          <w:rFonts w:eastAsiaTheme="minorEastAsia" w:cs="Times New Roman"/>
        </w:rPr>
        <w:t xml:space="preserve"> All data should be reported in SI units. Decimals should always be shown by full-stops (periods) and not by commas or centred dots.</w:t>
      </w:r>
    </w:p>
    <w:p w:rsidR="00C258D7" w:rsidRDefault="003B66CD" w:rsidP="00C258D7">
      <w:pPr>
        <w:pStyle w:val="UKHTCHeading1"/>
      </w:pPr>
      <w:r>
        <w:t>Referencing Style</w:t>
      </w:r>
    </w:p>
    <w:p w:rsidR="00C258D7" w:rsidRDefault="00C258D7" w:rsidP="00A40370">
      <w:pPr>
        <w:pStyle w:val="UKHTCNormal"/>
      </w:pPr>
      <w:r>
        <w:t xml:space="preserve">A numerical </w:t>
      </w:r>
      <w:r w:rsidRPr="00A40370">
        <w:t>referencing</w:t>
      </w:r>
      <w:r>
        <w:t xml:space="preserve"> style should be used in ascending order of first appearance. </w:t>
      </w:r>
      <w:r w:rsidR="00555FC9">
        <w:t>Within the text i</w:t>
      </w:r>
      <w:r>
        <w:t xml:space="preserve">nclude author names(s) on first mention </w:t>
      </w:r>
      <w:r w:rsidR="00555FC9">
        <w:t>followed by the reference number in square parentheses; thereafter simply cite a work by its reference number</w:t>
      </w:r>
      <w:r>
        <w:t>.</w:t>
      </w:r>
      <w:r w:rsidR="003B66CD">
        <w:t xml:space="preserve"> The references should appear as a numerical list </w:t>
      </w:r>
      <w:r w:rsidR="00555FC9">
        <w:t xml:space="preserve">at the end </w:t>
      </w:r>
      <w:r w:rsidR="003B66CD">
        <w:t xml:space="preserve">as </w:t>
      </w:r>
      <w:r w:rsidR="00555FC9">
        <w:t>in</w:t>
      </w:r>
      <w:r w:rsidR="003B66CD">
        <w:t xml:space="preserve"> the Reference</w:t>
      </w:r>
      <w:r w:rsidR="00ED0640">
        <w:t>s</w:t>
      </w:r>
      <w:r w:rsidR="003B66CD">
        <w:t xml:space="preserve"> section below.</w:t>
      </w:r>
      <w:r w:rsidR="00555FC9">
        <w:t xml:space="preserve"> Journal titles (employing standard abbreviations) should be in italic type. Book titles should also be italicized. </w:t>
      </w:r>
      <w:r w:rsidR="003D209A">
        <w:t>Referencing software may be used but please ensure the style is consistent with the examples within this template.</w:t>
      </w:r>
    </w:p>
    <w:p w:rsidR="0042134D" w:rsidRDefault="0042134D" w:rsidP="0042134D">
      <w:pPr>
        <w:pStyle w:val="UKHTCHeading1"/>
      </w:pPr>
      <w:r>
        <w:t>Conclusions</w:t>
      </w:r>
    </w:p>
    <w:p w:rsidR="0042134D" w:rsidRDefault="00D524B2" w:rsidP="00FD7BAB">
      <w:pPr>
        <w:pStyle w:val="UKHTCNormal"/>
      </w:pPr>
      <w:r>
        <w:t xml:space="preserve">After you have prepared your extended abstract, please submit it through the EasyChair Online submission </w:t>
      </w:r>
      <w:r w:rsidR="00E478EE">
        <w:t xml:space="preserve">system: </w:t>
      </w:r>
      <w:hyperlink r:id="rId12" w:history="1">
        <w:r w:rsidR="00E478EE" w:rsidRPr="00571933">
          <w:rPr>
            <w:rStyle w:val="Hyperlink"/>
          </w:rPr>
          <w:t>https://easychair.org/conferences/?conf=ukhtc2021</w:t>
        </w:r>
      </w:hyperlink>
      <w:r>
        <w:t xml:space="preserve">. </w:t>
      </w:r>
      <w:r w:rsidR="0042134D">
        <w:t>If you have any questions about abstract preparation and submission please email</w:t>
      </w:r>
      <w:r w:rsidR="00555FC9">
        <w:t>:</w:t>
      </w:r>
      <w:r w:rsidR="0042134D">
        <w:t xml:space="preserve"> </w:t>
      </w:r>
      <w:hyperlink r:id="rId13" w:history="1">
        <w:r w:rsidR="0042134D" w:rsidRPr="00A01BC2">
          <w:rPr>
            <w:rStyle w:val="Hyperlink"/>
          </w:rPr>
          <w:t>ukhtc2021@manchester.ac.uk</w:t>
        </w:r>
      </w:hyperlink>
      <w:r w:rsidR="00FD7BAB">
        <w:t>.</w:t>
      </w:r>
    </w:p>
    <w:p w:rsidR="00FD7BAB" w:rsidRDefault="00FD7BAB" w:rsidP="00FD7BAB">
      <w:pPr>
        <w:pStyle w:val="UKHTCHeadingnonumber"/>
      </w:pPr>
      <w:r>
        <w:t>Acknowledgements</w:t>
      </w:r>
    </w:p>
    <w:p w:rsidR="00FD7BAB" w:rsidRDefault="00FD7BAB" w:rsidP="00FD7BAB">
      <w:pPr>
        <w:pStyle w:val="UKHTCNormal"/>
      </w:pPr>
      <w:r>
        <w:t xml:space="preserve">Acknowledgements, </w:t>
      </w:r>
      <w:r w:rsidR="00E84BA4">
        <w:t>where appropriate</w:t>
      </w:r>
      <w:r>
        <w:t>, should be placed immediately following the conclusion section.</w:t>
      </w:r>
    </w:p>
    <w:p w:rsidR="00FC1C7C" w:rsidRDefault="00FD7BAB" w:rsidP="00FC1C7C">
      <w:pPr>
        <w:pStyle w:val="UKHTCHeadingnonumber"/>
      </w:pPr>
      <w:r>
        <w:t>References</w:t>
      </w:r>
    </w:p>
    <w:p w:rsidR="00FC1C7C" w:rsidRDefault="00FC1C7C" w:rsidP="00FC1C7C">
      <w:pPr>
        <w:pStyle w:val="UKHTCReferenceListing"/>
      </w:pPr>
      <w:r>
        <w:t xml:space="preserve">[1] </w:t>
      </w:r>
      <w:r>
        <w:tab/>
        <w:t xml:space="preserve">K. </w:t>
      </w:r>
      <w:proofErr w:type="spellStart"/>
      <w:r>
        <w:t>Hanjalić</w:t>
      </w:r>
      <w:proofErr w:type="spellEnd"/>
      <w:r>
        <w:t xml:space="preserve"> &amp; S. </w:t>
      </w:r>
      <w:proofErr w:type="spellStart"/>
      <w:r>
        <w:t>Jakirlić</w:t>
      </w:r>
      <w:proofErr w:type="spellEnd"/>
      <w:r>
        <w:t xml:space="preserve">, A model of stress dissipation in second-moment closures. </w:t>
      </w:r>
      <w:r>
        <w:rPr>
          <w:i/>
          <w:iCs/>
        </w:rPr>
        <w:t>Appl</w:t>
      </w:r>
      <w:r w:rsidR="00555FC9">
        <w:rPr>
          <w:i/>
          <w:iCs/>
        </w:rPr>
        <w:t xml:space="preserve">ied </w:t>
      </w:r>
      <w:proofErr w:type="spellStart"/>
      <w:r w:rsidR="00555FC9">
        <w:rPr>
          <w:i/>
          <w:iCs/>
        </w:rPr>
        <w:t>Scentific</w:t>
      </w:r>
      <w:proofErr w:type="spellEnd"/>
      <w:r w:rsidR="00555FC9">
        <w:rPr>
          <w:i/>
          <w:iCs/>
        </w:rPr>
        <w:t>.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Res</w:t>
      </w:r>
      <w:r w:rsidR="00555FC9">
        <w:rPr>
          <w:i/>
          <w:iCs/>
        </w:rPr>
        <w:t>earch.</w:t>
      </w:r>
      <w:r>
        <w:t>,</w:t>
      </w:r>
      <w:proofErr w:type="gramEnd"/>
      <w:r>
        <w:t xml:space="preserve"> </w:t>
      </w:r>
      <w:r>
        <w:rPr>
          <w:b/>
          <w:bCs/>
        </w:rPr>
        <w:t>51</w:t>
      </w:r>
      <w:r>
        <w:t xml:space="preserve"> (1993) 513–518.</w:t>
      </w:r>
    </w:p>
    <w:p w:rsidR="00FC1C7C" w:rsidRDefault="00FC1C7C" w:rsidP="00FC1C7C">
      <w:pPr>
        <w:pStyle w:val="UKHTCReferenceListing"/>
      </w:pPr>
      <w:r>
        <w:t>[2]</w:t>
      </w:r>
      <w:r>
        <w:tab/>
      </w:r>
      <w:r w:rsidRPr="00FC1C7C">
        <w:t xml:space="preserve">T. J. Craft, A. V. Gerasimov, H. </w:t>
      </w:r>
      <w:proofErr w:type="spellStart"/>
      <w:r w:rsidRPr="00FC1C7C">
        <w:t>Iacovides</w:t>
      </w:r>
      <w:proofErr w:type="spellEnd"/>
      <w:r w:rsidRPr="00FC1C7C">
        <w:t xml:space="preserve">, &amp; B. E. Launder, Progress in the generalization of wall-function treatments. </w:t>
      </w:r>
      <w:r w:rsidRPr="00D71C9A">
        <w:rPr>
          <w:i/>
        </w:rPr>
        <w:t>Int</w:t>
      </w:r>
      <w:r w:rsidR="00555FC9">
        <w:rPr>
          <w:i/>
        </w:rPr>
        <w:t>.</w:t>
      </w:r>
      <w:r w:rsidRPr="00D71C9A">
        <w:rPr>
          <w:i/>
        </w:rPr>
        <w:t xml:space="preserve"> J</w:t>
      </w:r>
      <w:r w:rsidR="00555FC9">
        <w:rPr>
          <w:i/>
        </w:rPr>
        <w:t>.</w:t>
      </w:r>
      <w:r w:rsidRPr="00D71C9A">
        <w:rPr>
          <w:i/>
        </w:rPr>
        <w:t xml:space="preserve"> Heat </w:t>
      </w:r>
      <w:r w:rsidR="00555FC9">
        <w:rPr>
          <w:i/>
        </w:rPr>
        <w:t xml:space="preserve">&amp; </w:t>
      </w:r>
      <w:r w:rsidRPr="00D71C9A">
        <w:rPr>
          <w:i/>
        </w:rPr>
        <w:t>Fluid Flow</w:t>
      </w:r>
      <w:r w:rsidRPr="00FC1C7C">
        <w:t xml:space="preserve">, </w:t>
      </w:r>
      <w:r w:rsidRPr="00D71C9A">
        <w:rPr>
          <w:b/>
        </w:rPr>
        <w:t>23</w:t>
      </w:r>
      <w:r w:rsidRPr="00FC1C7C">
        <w:t xml:space="preserve"> (2002) 148–160</w:t>
      </w:r>
    </w:p>
    <w:p w:rsidR="00FC1C7C" w:rsidRDefault="00FC1C7C" w:rsidP="00FC1C7C">
      <w:pPr>
        <w:pStyle w:val="UKHTCReferenceListing"/>
      </w:pPr>
      <w:r>
        <w:t>[3]</w:t>
      </w:r>
      <w:r>
        <w:tab/>
      </w:r>
      <w:r w:rsidRPr="00FC1C7C">
        <w:t xml:space="preserve">S. B. Pope, </w:t>
      </w:r>
      <w:r w:rsidRPr="00555FC9">
        <w:rPr>
          <w:i/>
        </w:rPr>
        <w:t>Turbulent flows</w:t>
      </w:r>
      <w:r w:rsidRPr="00FC1C7C">
        <w:t xml:space="preserve"> Cambridge University Press,</w:t>
      </w:r>
      <w:r w:rsidR="00555FC9">
        <w:t xml:space="preserve"> (2000), Cambridge</w:t>
      </w:r>
    </w:p>
    <w:p w:rsidR="00FC1C7C" w:rsidRDefault="00FC1C7C" w:rsidP="00FC1C7C">
      <w:pPr>
        <w:pStyle w:val="UKHTCReferenceListing"/>
      </w:pPr>
      <w:r>
        <w:t>[4]</w:t>
      </w:r>
      <w:r>
        <w:tab/>
      </w:r>
      <w:r w:rsidRPr="00FC1C7C">
        <w:t xml:space="preserve">T. B. </w:t>
      </w:r>
      <w:proofErr w:type="spellStart"/>
      <w:r w:rsidRPr="00FC1C7C">
        <w:t>Gatski</w:t>
      </w:r>
      <w:proofErr w:type="spellEnd"/>
      <w:r w:rsidRPr="00FC1C7C">
        <w:t xml:space="preserve"> &amp; C. L. Rumsey, Linear and Nonlinear Eddy Viscosity Models. In B.E. Launder, &amp; N.D. </w:t>
      </w:r>
      <w:proofErr w:type="spellStart"/>
      <w:r w:rsidRPr="00FC1C7C">
        <w:t>Sandham</w:t>
      </w:r>
      <w:proofErr w:type="gramStart"/>
      <w:r w:rsidRPr="00FC1C7C">
        <w:t>,eds</w:t>
      </w:r>
      <w:proofErr w:type="spellEnd"/>
      <w:proofErr w:type="gramEnd"/>
      <w:r w:rsidRPr="00FC1C7C">
        <w:t xml:space="preserve">., </w:t>
      </w:r>
      <w:r w:rsidRPr="00555FC9">
        <w:rPr>
          <w:i/>
        </w:rPr>
        <w:t>Closure Strategies for Turbulent and Transitional Flows</w:t>
      </w:r>
      <w:r w:rsidRPr="00FC1C7C">
        <w:t xml:space="preserve"> Cambridge University Press, </w:t>
      </w:r>
      <w:r w:rsidR="00555FC9">
        <w:t>(</w:t>
      </w:r>
      <w:r w:rsidRPr="00FC1C7C">
        <w:t>2002), pp. 9–46</w:t>
      </w:r>
      <w:r w:rsidR="00555FC9">
        <w:t>, Cambridge</w:t>
      </w:r>
    </w:p>
    <w:p w:rsidR="00D31681" w:rsidRDefault="00D31681" w:rsidP="00FC1C7C">
      <w:pPr>
        <w:pStyle w:val="UKHTCReferenceListing"/>
      </w:pPr>
      <w:r>
        <w:t>[5]</w:t>
      </w:r>
      <w:r>
        <w:tab/>
      </w:r>
      <w:r w:rsidRPr="00D31681">
        <w:t xml:space="preserve">D. R. Wilson, T. J. Craft, &amp; H. </w:t>
      </w:r>
      <w:proofErr w:type="spellStart"/>
      <w:r w:rsidRPr="00D31681">
        <w:t>Iacovides</w:t>
      </w:r>
      <w:proofErr w:type="spellEnd"/>
      <w:r w:rsidRPr="00D31681">
        <w:t xml:space="preserve">, </w:t>
      </w:r>
      <w:proofErr w:type="gramStart"/>
      <w:r w:rsidRPr="00D31681">
        <w:t>On</w:t>
      </w:r>
      <w:proofErr w:type="gramEnd"/>
      <w:r w:rsidRPr="00D31681">
        <w:t xml:space="preserve"> the development of URANS turbulence closure models: Flows subjected to electromagnetic and other body forces. </w:t>
      </w:r>
      <w:r w:rsidRPr="00D31681">
        <w:rPr>
          <w:i/>
        </w:rPr>
        <w:t>Proc</w:t>
      </w:r>
      <w:r w:rsidR="00555FC9">
        <w:rPr>
          <w:i/>
        </w:rPr>
        <w:t>.</w:t>
      </w:r>
      <w:r w:rsidRPr="00D31681">
        <w:rPr>
          <w:i/>
        </w:rPr>
        <w:t xml:space="preserve"> </w:t>
      </w:r>
      <w:r w:rsidR="00555FC9">
        <w:rPr>
          <w:i/>
        </w:rPr>
        <w:t>10th Int.</w:t>
      </w:r>
      <w:r w:rsidRPr="00D31681">
        <w:rPr>
          <w:i/>
        </w:rPr>
        <w:t xml:space="preserve"> </w:t>
      </w:r>
      <w:proofErr w:type="spellStart"/>
      <w:r w:rsidRPr="00D31681">
        <w:rPr>
          <w:i/>
        </w:rPr>
        <w:t>Symp</w:t>
      </w:r>
      <w:proofErr w:type="spellEnd"/>
      <w:r w:rsidR="00555FC9">
        <w:rPr>
          <w:i/>
        </w:rPr>
        <w:t>.</w:t>
      </w:r>
      <w:r w:rsidRPr="00D31681">
        <w:rPr>
          <w:i/>
        </w:rPr>
        <w:t xml:space="preserve"> </w:t>
      </w:r>
      <w:proofErr w:type="gramStart"/>
      <w:r w:rsidRPr="00D31681">
        <w:rPr>
          <w:i/>
        </w:rPr>
        <w:t>on</w:t>
      </w:r>
      <w:proofErr w:type="gramEnd"/>
      <w:r w:rsidRPr="00D31681">
        <w:rPr>
          <w:i/>
        </w:rPr>
        <w:t xml:space="preserve"> Engineering Turbulence Modelling and Measurements</w:t>
      </w:r>
      <w:r w:rsidR="009C53ED">
        <w:t>, Marbella, Spain, (201</w:t>
      </w:r>
      <w:r w:rsidR="000A28E2">
        <w:t>4</w:t>
      </w:r>
      <w:r w:rsidRPr="00D31681">
        <w:t>).</w:t>
      </w:r>
    </w:p>
    <w:p w:rsidR="00FD7BAB" w:rsidRPr="00FD7BAB" w:rsidRDefault="00FD7BAB" w:rsidP="00FD7BAB">
      <w:pPr>
        <w:pStyle w:val="UKHTCNormal"/>
      </w:pPr>
    </w:p>
    <w:sectPr w:rsidR="00FD7BAB" w:rsidRPr="00FD7BAB" w:rsidSect="00E264F4">
      <w:headerReference w:type="default" r:id="rId14"/>
      <w:headerReference w:type="first" r:id="rId15"/>
      <w:footerReference w:type="first" r:id="rId16"/>
      <w:pgSz w:w="11906" w:h="16838"/>
      <w:pgMar w:top="1701" w:right="1418" w:bottom="1701" w:left="1418" w:header="567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09" w:rsidRDefault="00B56109" w:rsidP="00B56109">
      <w:pPr>
        <w:spacing w:after="0" w:line="240" w:lineRule="auto"/>
      </w:pPr>
      <w:r>
        <w:separator/>
      </w:r>
    </w:p>
  </w:endnote>
  <w:endnote w:type="continuationSeparator" w:id="0">
    <w:p w:rsidR="00B56109" w:rsidRDefault="00B56109" w:rsidP="00B5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5C" w:rsidRPr="003671BB" w:rsidRDefault="00B0715C">
    <w:pPr>
      <w:pStyle w:val="Footer"/>
      <w:rPr>
        <w:sz w:val="22"/>
      </w:rPr>
    </w:pPr>
    <w:r w:rsidRPr="003671BB">
      <w:rPr>
        <w:sz w:val="22"/>
      </w:rPr>
      <w:t>*Corresponding Author: f.author@affiliation.com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09" w:rsidRDefault="00B56109" w:rsidP="00B56109">
      <w:pPr>
        <w:spacing w:after="0" w:line="240" w:lineRule="auto"/>
      </w:pPr>
      <w:r>
        <w:separator/>
      </w:r>
    </w:p>
  </w:footnote>
  <w:footnote w:type="continuationSeparator" w:id="0">
    <w:p w:rsidR="00B56109" w:rsidRDefault="00B56109" w:rsidP="00B5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66" w:rsidRDefault="002D4E66" w:rsidP="00B56109">
    <w:pPr>
      <w:pStyle w:val="UKHTCPapernumber"/>
    </w:pPr>
  </w:p>
  <w:p w:rsidR="002D4E66" w:rsidRDefault="002D4E66" w:rsidP="00B56109">
    <w:pPr>
      <w:pStyle w:val="UKHTCPapernumb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66" w:rsidRDefault="00D76FFB" w:rsidP="002D4E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033200" cy="540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khtc2021-logo-white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E66">
      <w:t>17th UK Heat Transfer Conference (UKHTC2021)</w:t>
    </w:r>
  </w:p>
  <w:p w:rsidR="002D4E66" w:rsidRDefault="002D4E66" w:rsidP="00D76FFB">
    <w:pPr>
      <w:pStyle w:val="Header"/>
    </w:pPr>
    <w:r>
      <w:t>5-7 September 2021, Manchester, UK</w:t>
    </w:r>
  </w:p>
  <w:p w:rsidR="002D4E66" w:rsidRDefault="002D4E66" w:rsidP="002D4E66">
    <w:pPr>
      <w:pStyle w:val="UKHTCPapernumb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664"/>
    <w:multiLevelType w:val="hybridMultilevel"/>
    <w:tmpl w:val="E1F06F36"/>
    <w:lvl w:ilvl="0" w:tplc="E1563852">
      <w:start w:val="1"/>
      <w:numFmt w:val="bullet"/>
      <w:pStyle w:val="UKHTCLis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C09422B"/>
    <w:multiLevelType w:val="multilevel"/>
    <w:tmpl w:val="1BD29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382F95"/>
    <w:multiLevelType w:val="multilevel"/>
    <w:tmpl w:val="6C4619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pStyle w:val="UKHTCNumberedList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07557B"/>
    <w:multiLevelType w:val="multilevel"/>
    <w:tmpl w:val="1BD29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A85132"/>
    <w:multiLevelType w:val="hybridMultilevel"/>
    <w:tmpl w:val="EED292C6"/>
    <w:lvl w:ilvl="0" w:tplc="20C44F5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6611A"/>
    <w:multiLevelType w:val="multilevel"/>
    <w:tmpl w:val="22707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UKHTC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8474D8"/>
    <w:multiLevelType w:val="hybridMultilevel"/>
    <w:tmpl w:val="17CA01BA"/>
    <w:lvl w:ilvl="0" w:tplc="A49CA122">
      <w:start w:val="1"/>
      <w:numFmt w:val="decimal"/>
      <w:pStyle w:val="UKHTCHeading1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47"/>
    <w:rsid w:val="00020484"/>
    <w:rsid w:val="000747F8"/>
    <w:rsid w:val="00081270"/>
    <w:rsid w:val="000A28E2"/>
    <w:rsid w:val="000B7341"/>
    <w:rsid w:val="001158AD"/>
    <w:rsid w:val="00142FF5"/>
    <w:rsid w:val="001519FA"/>
    <w:rsid w:val="001526BB"/>
    <w:rsid w:val="0017125E"/>
    <w:rsid w:val="00171BE4"/>
    <w:rsid w:val="001A4827"/>
    <w:rsid w:val="001F2CB5"/>
    <w:rsid w:val="00211F2D"/>
    <w:rsid w:val="00222EB3"/>
    <w:rsid w:val="00230D40"/>
    <w:rsid w:val="002A7498"/>
    <w:rsid w:val="002D1246"/>
    <w:rsid w:val="002D4E66"/>
    <w:rsid w:val="002F4C3C"/>
    <w:rsid w:val="00310E72"/>
    <w:rsid w:val="0036562A"/>
    <w:rsid w:val="003671BB"/>
    <w:rsid w:val="003730F8"/>
    <w:rsid w:val="00377FCC"/>
    <w:rsid w:val="003A7075"/>
    <w:rsid w:val="003A7DA8"/>
    <w:rsid w:val="003B66CD"/>
    <w:rsid w:val="003D209A"/>
    <w:rsid w:val="003D4ECD"/>
    <w:rsid w:val="003D7B38"/>
    <w:rsid w:val="003E012C"/>
    <w:rsid w:val="004044AD"/>
    <w:rsid w:val="0041737D"/>
    <w:rsid w:val="0042134D"/>
    <w:rsid w:val="0043496C"/>
    <w:rsid w:val="00464072"/>
    <w:rsid w:val="00467954"/>
    <w:rsid w:val="004A0049"/>
    <w:rsid w:val="004A0802"/>
    <w:rsid w:val="004B04CF"/>
    <w:rsid w:val="004B7660"/>
    <w:rsid w:val="004C1744"/>
    <w:rsid w:val="00501C08"/>
    <w:rsid w:val="00555FC9"/>
    <w:rsid w:val="00557DAB"/>
    <w:rsid w:val="005C138F"/>
    <w:rsid w:val="005C1FAB"/>
    <w:rsid w:val="00631468"/>
    <w:rsid w:val="00675ECA"/>
    <w:rsid w:val="006932D5"/>
    <w:rsid w:val="006B07E1"/>
    <w:rsid w:val="006D00B7"/>
    <w:rsid w:val="007B395F"/>
    <w:rsid w:val="007C66DB"/>
    <w:rsid w:val="007E3450"/>
    <w:rsid w:val="0081476E"/>
    <w:rsid w:val="008969C7"/>
    <w:rsid w:val="008A4647"/>
    <w:rsid w:val="008B797A"/>
    <w:rsid w:val="008C052A"/>
    <w:rsid w:val="00930A1D"/>
    <w:rsid w:val="00950C72"/>
    <w:rsid w:val="0095144B"/>
    <w:rsid w:val="0095294B"/>
    <w:rsid w:val="0098025B"/>
    <w:rsid w:val="009A4646"/>
    <w:rsid w:val="009C53ED"/>
    <w:rsid w:val="00A31F7F"/>
    <w:rsid w:val="00A40370"/>
    <w:rsid w:val="00A723ED"/>
    <w:rsid w:val="00AC5F35"/>
    <w:rsid w:val="00AE6020"/>
    <w:rsid w:val="00AF64FB"/>
    <w:rsid w:val="00B0715C"/>
    <w:rsid w:val="00B1472B"/>
    <w:rsid w:val="00B16701"/>
    <w:rsid w:val="00B56109"/>
    <w:rsid w:val="00BA48D5"/>
    <w:rsid w:val="00BB7610"/>
    <w:rsid w:val="00BC2F12"/>
    <w:rsid w:val="00BD421F"/>
    <w:rsid w:val="00C07B25"/>
    <w:rsid w:val="00C258D7"/>
    <w:rsid w:val="00C42576"/>
    <w:rsid w:val="00C707F5"/>
    <w:rsid w:val="00C87A23"/>
    <w:rsid w:val="00CB13C0"/>
    <w:rsid w:val="00CB51C1"/>
    <w:rsid w:val="00CD78CF"/>
    <w:rsid w:val="00D04E7A"/>
    <w:rsid w:val="00D132D9"/>
    <w:rsid w:val="00D31681"/>
    <w:rsid w:val="00D524B2"/>
    <w:rsid w:val="00D71C9A"/>
    <w:rsid w:val="00D76FFB"/>
    <w:rsid w:val="00DF0F5A"/>
    <w:rsid w:val="00E014C2"/>
    <w:rsid w:val="00E22D8F"/>
    <w:rsid w:val="00E24142"/>
    <w:rsid w:val="00E264F4"/>
    <w:rsid w:val="00E478EE"/>
    <w:rsid w:val="00E84BA4"/>
    <w:rsid w:val="00EC0529"/>
    <w:rsid w:val="00ED0640"/>
    <w:rsid w:val="00F14C9D"/>
    <w:rsid w:val="00F26B0C"/>
    <w:rsid w:val="00F63396"/>
    <w:rsid w:val="00F70BC8"/>
    <w:rsid w:val="00FB6874"/>
    <w:rsid w:val="00FC1C7C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DE2F03-95B3-4E29-88FA-6F757E97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B04CF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CB13C0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5C138F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4B04CF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CB13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B13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CB13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CB13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CB13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CB13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B167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next w:val="Normal"/>
    <w:link w:val="TitleChar"/>
    <w:uiPriority w:val="10"/>
    <w:semiHidden/>
    <w:locked/>
    <w:rsid w:val="008A4647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0640"/>
    <w:rPr>
      <w:rFonts w:ascii="Times New Roman" w:eastAsiaTheme="majorEastAsia" w:hAnsi="Times New Roman" w:cstheme="majorBidi"/>
      <w:b/>
      <w:caps/>
      <w:kern w:val="28"/>
      <w:sz w:val="24"/>
      <w:szCs w:val="56"/>
    </w:rPr>
  </w:style>
  <w:style w:type="character" w:styleId="Strong">
    <w:name w:val="Strong"/>
    <w:basedOn w:val="DefaultParagraphFont"/>
    <w:uiPriority w:val="22"/>
    <w:semiHidden/>
    <w:locked/>
    <w:rsid w:val="008A4647"/>
    <w:rPr>
      <w:b/>
      <w:bCs/>
    </w:rPr>
  </w:style>
  <w:style w:type="table" w:styleId="PlainTable3">
    <w:name w:val="Plain Table 3"/>
    <w:basedOn w:val="TableNormal"/>
    <w:uiPriority w:val="43"/>
    <w:rsid w:val="00B167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UKHTCPaperTitle">
    <w:name w:val="UKHTC Paper Title"/>
    <w:basedOn w:val="Title"/>
    <w:next w:val="Normal"/>
    <w:uiPriority w:val="19"/>
    <w:qFormat/>
    <w:rsid w:val="0043496C"/>
    <w:pPr>
      <w:spacing w:before="200" w:after="200"/>
    </w:pPr>
    <w:rPr>
      <w:sz w:val="28"/>
    </w:rPr>
  </w:style>
  <w:style w:type="paragraph" w:styleId="Subtitle">
    <w:name w:val="Subtitle"/>
    <w:basedOn w:val="Normal"/>
    <w:next w:val="Normal"/>
    <w:link w:val="SubtitleChar"/>
    <w:uiPriority w:val="11"/>
    <w:semiHidden/>
    <w:locked/>
    <w:rsid w:val="008A46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0640"/>
    <w:rPr>
      <w:rFonts w:ascii="Times New Roman" w:eastAsiaTheme="minorEastAsia" w:hAnsi="Times New Roman"/>
      <w:color w:val="5A5A5A" w:themeColor="text1" w:themeTint="A5"/>
      <w:spacing w:val="15"/>
      <w:sz w:val="20"/>
    </w:rPr>
  </w:style>
  <w:style w:type="paragraph" w:customStyle="1" w:styleId="UKHTCAuthorlist">
    <w:name w:val="UKHTC Author list"/>
    <w:basedOn w:val="Subtitle"/>
    <w:uiPriority w:val="21"/>
    <w:qFormat/>
    <w:rsid w:val="0043496C"/>
    <w:pPr>
      <w:spacing w:after="200" w:line="264" w:lineRule="auto"/>
      <w:jc w:val="center"/>
    </w:pPr>
    <w:rPr>
      <w:b/>
      <w:color w:val="auto"/>
      <w:spacing w:val="0"/>
      <w:sz w:val="25"/>
    </w:rPr>
  </w:style>
  <w:style w:type="paragraph" w:customStyle="1" w:styleId="UKHTCAuthorAffiliation">
    <w:name w:val="UKHTC Author Affiliation"/>
    <w:basedOn w:val="Normal"/>
    <w:uiPriority w:val="21"/>
    <w:qFormat/>
    <w:rsid w:val="0043496C"/>
    <w:pPr>
      <w:spacing w:after="360" w:line="240" w:lineRule="auto"/>
      <w:contextualSpacing/>
      <w:jc w:val="center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D0640"/>
    <w:rPr>
      <w:rFonts w:ascii="Times New Roman" w:eastAsiaTheme="majorEastAsia" w:hAnsi="Times New Roman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640"/>
    <w:rPr>
      <w:rFonts w:ascii="Times New Roman" w:eastAsiaTheme="majorEastAsia" w:hAnsi="Times New Roman" w:cstheme="majorBidi"/>
      <w:b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4CF"/>
    <w:rPr>
      <w:rFonts w:ascii="Times New Roman" w:eastAsiaTheme="majorEastAsia" w:hAnsi="Times New Roman" w:cstheme="majorBidi"/>
      <w:b/>
      <w:i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64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64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64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64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6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6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UKHTCHeading1">
    <w:name w:val="UKHTC Heading 1"/>
    <w:basedOn w:val="Heading1"/>
    <w:next w:val="UKHTCNormal"/>
    <w:uiPriority w:val="1"/>
    <w:qFormat/>
    <w:rsid w:val="0043496C"/>
    <w:pPr>
      <w:numPr>
        <w:numId w:val="3"/>
      </w:numPr>
      <w:spacing w:after="120"/>
      <w:ind w:left="567" w:hanging="567"/>
    </w:pPr>
    <w:rPr>
      <w:sz w:val="24"/>
    </w:rPr>
  </w:style>
  <w:style w:type="paragraph" w:customStyle="1" w:styleId="UKHTCNormal">
    <w:name w:val="UKHTC Normal"/>
    <w:basedOn w:val="Normal"/>
    <w:qFormat/>
    <w:rsid w:val="003671BB"/>
    <w:pPr>
      <w:spacing w:after="220" w:line="240" w:lineRule="auto"/>
      <w:ind w:firstLine="340"/>
      <w:jc w:val="both"/>
    </w:pPr>
    <w:rPr>
      <w:sz w:val="22"/>
    </w:rPr>
  </w:style>
  <w:style w:type="paragraph" w:customStyle="1" w:styleId="UKHTCHeading2">
    <w:name w:val="UKHTC Heading 2"/>
    <w:basedOn w:val="Heading2"/>
    <w:next w:val="UKHTCNormal"/>
    <w:uiPriority w:val="2"/>
    <w:qFormat/>
    <w:rsid w:val="0043496C"/>
    <w:pPr>
      <w:numPr>
        <w:ilvl w:val="1"/>
        <w:numId w:val="1"/>
      </w:numPr>
    </w:pPr>
    <w:rPr>
      <w:sz w:val="24"/>
    </w:rPr>
  </w:style>
  <w:style w:type="paragraph" w:customStyle="1" w:styleId="UKHTCFigurebody">
    <w:name w:val="UKHTC Figure (body)"/>
    <w:basedOn w:val="UKHTCNormal"/>
    <w:next w:val="UKHTCNormal"/>
    <w:uiPriority w:val="14"/>
    <w:qFormat/>
    <w:rsid w:val="0098025B"/>
    <w:pPr>
      <w:spacing w:before="220"/>
      <w:ind w:firstLine="0"/>
      <w:jc w:val="center"/>
    </w:pPr>
    <w:rPr>
      <w:noProof/>
      <w:lang w:eastAsia="en-GB"/>
    </w:rPr>
  </w:style>
  <w:style w:type="paragraph" w:styleId="Caption">
    <w:name w:val="caption"/>
    <w:aliases w:val="UKHTC Caption"/>
    <w:basedOn w:val="Normal"/>
    <w:next w:val="UKHTCNormal"/>
    <w:uiPriority w:val="35"/>
    <w:semiHidden/>
    <w:qFormat/>
    <w:locked/>
    <w:rsid w:val="00CB51C1"/>
    <w:pPr>
      <w:spacing w:before="200" w:after="200" w:line="240" w:lineRule="auto"/>
    </w:pPr>
    <w:rPr>
      <w:iCs/>
      <w:sz w:val="18"/>
      <w:szCs w:val="18"/>
    </w:rPr>
  </w:style>
  <w:style w:type="paragraph" w:customStyle="1" w:styleId="UKHTCMultilineCaption">
    <w:name w:val="UKHTC Multiline Caption"/>
    <w:basedOn w:val="Caption"/>
    <w:next w:val="UKHTCNormal"/>
    <w:uiPriority w:val="9"/>
    <w:qFormat/>
    <w:rsid w:val="0098025B"/>
    <w:pPr>
      <w:spacing w:before="220" w:after="220"/>
    </w:pPr>
  </w:style>
  <w:style w:type="character" w:styleId="PlaceholderText">
    <w:name w:val="Placeholder Text"/>
    <w:basedOn w:val="DefaultParagraphFont"/>
    <w:uiPriority w:val="99"/>
    <w:semiHidden/>
    <w:rsid w:val="0095144B"/>
    <w:rPr>
      <w:color w:val="808080"/>
    </w:rPr>
  </w:style>
  <w:style w:type="paragraph" w:customStyle="1" w:styleId="UKHTCList">
    <w:name w:val="UKHTC List"/>
    <w:basedOn w:val="UKHTCNormal"/>
    <w:uiPriority w:val="4"/>
    <w:qFormat/>
    <w:rsid w:val="00E22D8F"/>
    <w:pPr>
      <w:numPr>
        <w:numId w:val="4"/>
      </w:numPr>
      <w:ind w:left="69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42134D"/>
    <w:rPr>
      <w:color w:val="0563C1" w:themeColor="hyperlink"/>
      <w:u w:val="single"/>
    </w:rPr>
  </w:style>
  <w:style w:type="paragraph" w:customStyle="1" w:styleId="UKHTCHeadingnonumber">
    <w:name w:val="UKHTC Heading (no number)"/>
    <w:basedOn w:val="UKHTCHeading1"/>
    <w:next w:val="UKHTCNormal"/>
    <w:uiPriority w:val="4"/>
    <w:qFormat/>
    <w:rsid w:val="00FD7BAB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B56109"/>
    <w:pPr>
      <w:tabs>
        <w:tab w:val="center" w:pos="4513"/>
        <w:tab w:val="right" w:pos="9026"/>
      </w:tabs>
      <w:spacing w:after="120" w:line="240" w:lineRule="auto"/>
      <w:contextualSpacing/>
      <w:jc w:val="right"/>
    </w:pPr>
    <w:rPr>
      <w:rFonts w:ascii="Arial" w:hAnsi="Arial"/>
      <w:b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B56109"/>
    <w:rPr>
      <w:rFonts w:ascii="Arial" w:hAnsi="Arial"/>
      <w:b/>
      <w:sz w:val="19"/>
    </w:rPr>
  </w:style>
  <w:style w:type="paragraph" w:styleId="Footer">
    <w:name w:val="footer"/>
    <w:basedOn w:val="Normal"/>
    <w:link w:val="FooterChar"/>
    <w:uiPriority w:val="99"/>
    <w:unhideWhenUsed/>
    <w:rsid w:val="00B56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09"/>
    <w:rPr>
      <w:rFonts w:ascii="Times New Roman" w:hAnsi="Times New Roman"/>
      <w:sz w:val="20"/>
    </w:rPr>
  </w:style>
  <w:style w:type="paragraph" w:customStyle="1" w:styleId="UKHTCPapernumber">
    <w:name w:val="UKHTC Paper number"/>
    <w:basedOn w:val="Header"/>
    <w:uiPriority w:val="24"/>
    <w:rsid w:val="00B56109"/>
    <w:pPr>
      <w:spacing w:after="0"/>
    </w:pPr>
    <w:rPr>
      <w:caps/>
      <w:sz w:val="22"/>
    </w:rPr>
  </w:style>
  <w:style w:type="paragraph" w:customStyle="1" w:styleId="UKHTCNumberedList">
    <w:name w:val="UKHTC Numbered List"/>
    <w:basedOn w:val="UKHTCNormal"/>
    <w:uiPriority w:val="4"/>
    <w:qFormat/>
    <w:rsid w:val="003730F8"/>
    <w:pPr>
      <w:numPr>
        <w:ilvl w:val="1"/>
        <w:numId w:val="7"/>
      </w:numPr>
      <w:spacing w:after="200"/>
      <w:ind w:left="714" w:hanging="357"/>
      <w:contextualSpacing/>
    </w:pPr>
  </w:style>
  <w:style w:type="table" w:styleId="TableGrid">
    <w:name w:val="Table Grid"/>
    <w:basedOn w:val="TableNormal"/>
    <w:uiPriority w:val="39"/>
    <w:rsid w:val="00AF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HTCEquation">
    <w:name w:val="UKHTC Equation"/>
    <w:basedOn w:val="UKHTCNormal"/>
    <w:uiPriority w:val="9"/>
    <w:qFormat/>
    <w:rsid w:val="00AF64FB"/>
    <w:pPr>
      <w:spacing w:after="200"/>
      <w:ind w:firstLine="0"/>
    </w:pPr>
    <w:rPr>
      <w:rFonts w:eastAsiaTheme="minorEastAsia"/>
    </w:rPr>
  </w:style>
  <w:style w:type="paragraph" w:customStyle="1" w:styleId="UKHTCReferenceListing">
    <w:name w:val="UKHTC Reference Listing"/>
    <w:basedOn w:val="Normal"/>
    <w:uiPriority w:val="14"/>
    <w:qFormat/>
    <w:rsid w:val="0043496C"/>
    <w:pPr>
      <w:ind w:left="510" w:hanging="510"/>
      <w:contextualSpacing/>
    </w:pPr>
  </w:style>
  <w:style w:type="table" w:styleId="PlainTable2">
    <w:name w:val="Plain Table 2"/>
    <w:basedOn w:val="TableNormal"/>
    <w:uiPriority w:val="42"/>
    <w:rsid w:val="00B167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B167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UKHTCTable">
    <w:name w:val="UKHTC Table"/>
    <w:basedOn w:val="TableNormal"/>
    <w:uiPriority w:val="99"/>
    <w:rsid w:val="003E012C"/>
    <w:pPr>
      <w:spacing w:after="0" w:line="240" w:lineRule="auto"/>
    </w:pPr>
    <w:rPr>
      <w:rFonts w:ascii="Times New Roman" w:hAnsi="Times New Roman"/>
      <w:sz w:val="20"/>
    </w:rPr>
    <w:tblPr>
      <w:jc w:val="center"/>
      <w:tblBorders>
        <w:bottom w:val="single" w:sz="4" w:space="0" w:color="auto"/>
      </w:tblBorders>
    </w:tblPr>
    <w:trPr>
      <w:jc w:val="center"/>
    </w:trPr>
    <w:tblStylePr w:type="firstRow">
      <w:pPr>
        <w:wordWrap/>
        <w:spacing w:beforeLines="0" w:before="40" w:beforeAutospacing="0" w:afterLines="0" w:after="4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  <w:style w:type="paragraph" w:customStyle="1" w:styleId="UKHTCTableCaption">
    <w:name w:val="UKHTC Table Caption"/>
    <w:basedOn w:val="Caption"/>
    <w:uiPriority w:val="9"/>
    <w:qFormat/>
    <w:rsid w:val="00C707F5"/>
    <w:pPr>
      <w:spacing w:after="120"/>
      <w:jc w:val="center"/>
    </w:pPr>
  </w:style>
  <w:style w:type="paragraph" w:styleId="NoSpacing">
    <w:name w:val="No Spacing"/>
    <w:basedOn w:val="UKHTCNormal"/>
    <w:uiPriority w:val="1"/>
    <w:qFormat/>
    <w:locked/>
    <w:rsid w:val="00A40370"/>
    <w:pPr>
      <w:spacing w:after="0"/>
    </w:pPr>
  </w:style>
  <w:style w:type="paragraph" w:customStyle="1" w:styleId="UKHTCHeading3">
    <w:name w:val="UKHTC Heading 3"/>
    <w:basedOn w:val="Heading3"/>
    <w:uiPriority w:val="3"/>
    <w:qFormat/>
    <w:rsid w:val="0043496C"/>
    <w:pPr>
      <w:spacing w:after="4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654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8437">
              <w:marLeft w:val="360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908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657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htc2021.org/important-dates" TargetMode="External"/><Relationship Id="rId13" Type="http://schemas.openxmlformats.org/officeDocument/2006/relationships/hyperlink" Target="mailto:ukhtc2021@manchester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sychair.org/conferences/?conf=ukhtc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327C825-368A-4AF0-B6F0-54EA9FD5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ukhtc2021@manchester.ac.uk</dc:creator>
  <cp:keywords/>
  <dc:description/>
  <cp:lastModifiedBy>Dean Wilson</cp:lastModifiedBy>
  <cp:revision>4</cp:revision>
  <cp:lastPrinted>2020-08-24T11:22:00Z</cp:lastPrinted>
  <dcterms:created xsi:type="dcterms:W3CDTF">2020-08-29T22:02:00Z</dcterms:created>
  <dcterms:modified xsi:type="dcterms:W3CDTF">2020-08-30T09:57:00Z</dcterms:modified>
</cp:coreProperties>
</file>